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добровольческой (волонтерской) деятельности и взаимодействие с социально ориентированными НКО</w:t>
            </w:r>
          </w:p>
          <w:p>
            <w:pPr>
              <w:jc w:val="center"/>
              <w:spacing w:after="0" w:line="240" w:lineRule="auto"/>
              <w:rPr>
                <w:sz w:val="32"/>
                <w:szCs w:val="32"/>
              </w:rPr>
            </w:pPr>
            <w:r>
              <w:rPr>
                <w:rFonts w:ascii="Times New Roman" w:hAnsi="Times New Roman" w:cs="Times New Roman"/>
                <w:color w:val="#000000"/>
                <w:sz w:val="32"/>
                <w:szCs w:val="32"/>
              </w:rPr>
              <w:t> ФТД.04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«Историческое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885.86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добровольческой (волонтерской) деятельности и взаимодействие с социально ориентированными НКО»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666.83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ФТД.04 «Организация добровольческой (волонтерской) деятельности и взаимодействие с социально ориентированными НКО».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добровольческой (волонтерской) деятельности и взаимодействие с социально ориентированными НКО»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эффективность использования стратегии сотрудничества для достижения поставленной цели, определять свою роль в команде</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особенности поведения разных групп людей, с которыми работает/взаимодействует, учитывать их в своей 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устанавливать разные виды коммуникации (учебную, деловую, неформальную и др.)</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владеть способами оценки результатов (последствий) личных действий и планировать последовательность шагов для достижения заданного результата</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способами эффективно взаимодействовать с другими членами команды, в т.ч. участвовать в обмене информацией, знаниями и опытом, и презентации результатов работы команды</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ФТД.04 «Организация добровольческой (волонтерской) деятельности и взаимодействие с социально ориентированными НКО»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p>
            <w:pPr>
              <w:jc w:val="center"/>
              <w:spacing w:after="0" w:line="240" w:lineRule="auto"/>
              <w:rPr>
                <w:sz w:val="22"/>
                <w:szCs w:val="22"/>
              </w:rPr>
            </w:pPr>
            <w:r>
              <w:rPr>
                <w:rFonts w:ascii="Times New Roman" w:hAnsi="Times New Roman" w:cs="Times New Roman"/>
                <w:color w:val="#000000"/>
                <w:sz w:val="22"/>
                <w:szCs w:val="22"/>
              </w:rPr>
              <w:t> История Сибири до XVI в.</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8</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w:t>
            </w:r>
          </w:p>
          <w:p>
            <w:pPr>
              <w:jc w:val="left"/>
              <w:spacing w:after="0" w:line="240" w:lineRule="auto"/>
              <w:rPr>
                <w:sz w:val="24"/>
                <w:szCs w:val="24"/>
              </w:rPr>
            </w:pPr>
            <w:r>
              <w:rPr>
                <w:rFonts w:ascii="Times New Roman" w:hAnsi="Times New Roman" w:cs="Times New Roman"/>
                <w:color w:val="#000000"/>
                <w:sz w:val="24"/>
                <w:szCs w:val="24"/>
              </w:rPr>
              <w:t> (волонтерской)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w:t>
            </w:r>
          </w:p>
          <w:p>
            <w:pPr>
              <w:jc w:val="left"/>
              <w:spacing w:after="0" w:line="240" w:lineRule="auto"/>
              <w:rPr>
                <w:sz w:val="24"/>
                <w:szCs w:val="24"/>
              </w:rPr>
            </w:pPr>
            <w:r>
              <w:rPr>
                <w:rFonts w:ascii="Times New Roman" w:hAnsi="Times New Roman" w:cs="Times New Roman"/>
                <w:color w:val="#000000"/>
                <w:sz w:val="24"/>
                <w:szCs w:val="24"/>
              </w:rPr>
              <w:t>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w:t>
            </w:r>
          </w:p>
          <w:p>
            <w:pPr>
              <w:jc w:val="left"/>
              <w:spacing w:after="0" w:line="240" w:lineRule="auto"/>
              <w:rPr>
                <w:sz w:val="24"/>
                <w:szCs w:val="24"/>
              </w:rPr>
            </w:pPr>
            <w:r>
              <w:rPr>
                <w:rFonts w:ascii="Times New Roman" w:hAnsi="Times New Roman" w:cs="Times New Roman"/>
                <w:color w:val="#000000"/>
                <w:sz w:val="24"/>
                <w:szCs w:val="24"/>
              </w:rPr>
              <w:t>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 (волонтерской)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1518.068"/>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0.05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 развития</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добровольчества (волонтерства), добровольческой (волонтерской) организации, организатора добровольческой (волонтерской) деятельности. Взаимосвязь добровольчества(волонтерства) с существенными и позитивными изменениями в личности человека. Государственная политика в области развития добровольчества (волонтерства). Возможности добровольчества (волонтерства) в решении вопросов местного значения, социально-экономическом развитии регионов и достижении целей национального развития.</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w:t>
            </w:r>
          </w:p>
          <w:p>
            <w:pPr>
              <w:jc w:val="center"/>
              <w:spacing w:after="0" w:line="240" w:lineRule="auto"/>
              <w:rPr>
                <w:sz w:val="24"/>
                <w:szCs w:val="24"/>
              </w:rPr>
            </w:pPr>
            <w:r>
              <w:rPr>
                <w:rFonts w:ascii="Times New Roman" w:hAnsi="Times New Roman" w:cs="Times New Roman"/>
                <w:b/>
                <w:color w:val="#000000"/>
                <w:sz w:val="24"/>
                <w:szCs w:val="24"/>
              </w:rPr>
              <w:t> (волонтерской)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волонтерства в различных сферах жизнедеятельности. Циклы развития волонтерской деятельности. Волонтерский менеджмент. Программы саморазвития личности в аспекте добровольчества. Социальное проектирование. Благотворительность.</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работы с волонтерами: рекрутинг,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стихийных волонтеров, эпизодических волонтеров и волонтеров долгосрочных проектов. Диагностика мотивации волонтеров. Показано, что волонтерская деятельность выступает как условие и фактор формирования  социально значимых личностных свойств человека. Определены основные потребности молодежи, реализуемые в рамках волонтерской деятельности: потребность человека быть нужным другому человеку, потребность в общении, потребность в творчестве, потребность в саморазвитии и построении карьеры, потребность в приобретении социального опыта, потребность в подтверждении самостоятельности и взрослости.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w:t>
            </w:r>
          </w:p>
          <w:p>
            <w:pPr>
              <w:jc w:val="center"/>
              <w:spacing w:after="0" w:line="240" w:lineRule="auto"/>
              <w:rPr>
                <w:sz w:val="24"/>
                <w:szCs w:val="24"/>
              </w:rPr>
            </w:pPr>
            <w:r>
              <w:rPr>
                <w:rFonts w:ascii="Times New Roman" w:hAnsi="Times New Roman" w:cs="Times New Roman"/>
                <w:b/>
                <w:color w:val="#000000"/>
                <w:sz w:val="24"/>
                <w:szCs w:val="24"/>
              </w:rPr>
              <w:t> организациями.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Инновации в добровольчестве (волонтерстве)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учреждениями, иными организациями (по направлениям волонтерской деятельности). Взаимодействия с социально ориентированными НКО, органами власти и подведомственными им организациями: причины провалов и лучшие практики. Управление рисками в работе с волонтерами и волонтерскими организациями.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w:t>
            </w:r>
          </w:p>
          <w:p>
            <w:pPr>
              <w:jc w:val="center"/>
              <w:spacing w:after="0" w:line="240" w:lineRule="auto"/>
              <w:rPr>
                <w:sz w:val="24"/>
                <w:szCs w:val="24"/>
              </w:rPr>
            </w:pPr>
            <w:r>
              <w:rPr>
                <w:rFonts w:ascii="Times New Roman" w:hAnsi="Times New Roman" w:cs="Times New Roman"/>
                <w:b/>
                <w:color w:val="#000000"/>
                <w:sz w:val="24"/>
                <w:szCs w:val="24"/>
              </w:rPr>
              <w:t> развития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ходе обучения студенты активизируют личностные ресурсы, способствующие саморазвитию и самореализации, повышению уровня толерантности и личностной креативности как адаптационного ресурса и условия эффективной волонтерской деятельности, рефлексии, повышению устойчивости к эмоциональному выгоранию и профессиональной деформации.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 (волонтерской)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типы и цели добровольчества (волонтерства): разнообразие и взаимное влияние. Механизмы и технологии добровольческой деятельности. Волонтерский менеджмент. Программы саморазвития личности в аспекте добровольчества.</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позволит освоить современные психологические технологии диагностики потенциальных волонтеров, с целью профессионального отбора; повышения уровня коммуникативной компетентности, развития профессиональной наблюдательности, анализа различных аспектов синдрома эмоционального выгорания.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 концепций, подходов и (или) технологий.</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результате обучения обучающиеся получат представление о знания о способах построения конструктивного общения (взаимодействия) с представителями органами власти и различных социальных групп; приобретают способность демонстрировать коммуникационные умения в контексте социального партнерства.</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добровольческой (волонтерской) деятельности и взаимодействие с социально ориентированными НКО»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волонтерством:</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локальные</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Певная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Зборовский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978-5-534-10984-9.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https://urait.ru/bcode/454782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волонтерского</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http://www.iprbookshop.ru/63025.html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79.56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Социально-культурное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молодежных</w:t>
            </w:r>
            <w:r>
              <w:rPr/>
              <w:t xml:space="preserve"> </w:t>
            </w:r>
            <w:r>
              <w:rPr>
                <w:rFonts w:ascii="Times New Roman" w:hAnsi="Times New Roman" w:cs="Times New Roman"/>
                <w:color w:val="#000000"/>
                <w:sz w:val="24"/>
                <w:szCs w:val="24"/>
              </w:rPr>
              <w:t>объединений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института</w:t>
            </w:r>
            <w:r>
              <w:rPr/>
              <w:t xml:space="preserve"> </w:t>
            </w:r>
            <w:r>
              <w:rPr>
                <w:rFonts w:ascii="Times New Roman" w:hAnsi="Times New Roman" w:cs="Times New Roman"/>
                <w:color w:val="#000000"/>
                <w:sz w:val="24"/>
                <w:szCs w:val="24"/>
              </w:rPr>
              <w:t>волонтерства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978-5-8154-0361-1.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http://www.iprbookshop.ru/66366.html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978-5-00094-344-1.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http://www.iprbookshop.ru/68907.html</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5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455.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152.2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2024-2025_ФГОС3++2024_Бак-ОФО-ПО(ИО)(24)_plx_Организация добровольческой (волонтерской) деятельности и взаимодействие с социально ориентированными НКО</dc:title>
  <dc:creator>FastReport.NET</dc:creator>
</cp:coreProperties>
</file>